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>Sistema di Gestione di Assicurazione della Qualità deL</w:t>
      </w:r>
    </w:p>
    <w:p>
      <w:pPr>
        <w:pStyle w:val="Normal"/>
        <w:spacing w:lineRule="auto" w:line="360"/>
        <w:jc w:val="center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 xml:space="preserve">Dipartimento di </w:t>
      </w:r>
      <w:r>
        <w:rPr>
          <w:b/>
          <w:bCs/>
          <w:caps/>
          <w:color w:val="000000" w:themeColor="text1"/>
          <w:sz w:val="28"/>
          <w:szCs w:val="28"/>
        </w:rPr>
        <w:t>Scienze mediche e chirurgiche</w:t>
      </w:r>
    </w:p>
    <w:p>
      <w:pPr>
        <w:pStyle w:val="Normal"/>
        <w:spacing w:lineRule="auto" w:line="360"/>
        <w:jc w:val="center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>ANNO 2024</w:t>
      </w:r>
    </w:p>
    <w:p>
      <w:pPr>
        <w:pStyle w:val="Normal"/>
        <w:rPr>
          <w:caps/>
          <w:sz w:val="24"/>
          <w:szCs w:val="24"/>
        </w:rPr>
      </w:pPr>
      <w:r>
        <w:rPr>
          <w:caps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documento descrive il sistema di gestione dell’Assicurazione della Qualità (AQ) della Ricerca e della Terza Missione per il Dipartimento </w:t>
      </w:r>
      <w:r>
        <w:rPr>
          <w:sz w:val="24"/>
          <w:szCs w:val="24"/>
        </w:rPr>
        <w:t xml:space="preserve">di Scienze Mediche e Chirurgiche. </w:t>
      </w:r>
      <w:r>
        <w:rPr>
          <w:sz w:val="24"/>
          <w:szCs w:val="24"/>
        </w:rPr>
        <w:t>Il sistema di gestione AQ definisce le responsabilità e le modalità operative attraverso le quali il Dipartimento pianifica, mette in atto e monitora le attività di ricerca e terza missione/impatto sociale.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Il documento è allineato al Sistema di Gestione AQ elaborato dal Presidio di Qualità di Ateneo (PQA) (https://pqa.unicz.it).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12700" distL="0" distR="12700" simplePos="0" locked="0" layoutInCell="0" allowOverlap="1" relativeHeight="2" wp14:anchorId="47BCBEE3">
                <wp:simplePos x="0" y="0"/>
                <wp:positionH relativeFrom="column">
                  <wp:posOffset>-8890</wp:posOffset>
                </wp:positionH>
                <wp:positionV relativeFrom="paragraph">
                  <wp:posOffset>122555</wp:posOffset>
                </wp:positionV>
                <wp:extent cx="6350000" cy="317500"/>
                <wp:effectExtent l="635" t="635" r="635" b="635"/>
                <wp:wrapNone/>
                <wp:docPr id="1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40" cy="317520"/>
                        </a:xfrm>
                        <a:prstGeom prst="rect">
                          <a:avLst/>
                        </a:prstGeom>
                        <a:solidFill>
                          <a:srgbClr val="355269"/>
                        </a:solidFill>
                        <a:ln w="0">
                          <a:solidFill>
                            <a:srgbClr val="3552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76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POLITICA PER L’AQ DI DIPARTIMENTO</w:t>
                            </w:r>
                          </w:p>
                          <w:p>
                            <w:pPr>
                              <w:pStyle w:val="FrameContents"/>
                              <w:spacing w:lineRule="auto" w:line="276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lIns="84960" rIns="84960" tIns="39240" bIns="3924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fillcolor="#355269" stroked="t" o:allowincell="f" style="position:absolute;margin-left:-0.7pt;margin-top:9.65pt;width:499.95pt;height:24.95pt;mso-wrap-style:square;v-text-anchor:middle" wp14:anchorId="47BCBEE3">
                <v:fill o:detectmouseclick="t" type="solid" color2="#caad96"/>
                <v:stroke color="#355269" joinstyle="miter" endcap="flat"/>
                <v:textbox>
                  <w:txbxContent>
                    <w:p>
                      <w:pPr>
                        <w:pStyle w:val="FrameContents"/>
                        <w:spacing w:lineRule="auto" w:line="276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POLITICA PER L’AQ DI DIPARTIMENTO</w:t>
                      </w:r>
                    </w:p>
                    <w:p>
                      <w:pPr>
                        <w:pStyle w:val="FrameContents"/>
                        <w:spacing w:lineRule="auto" w:line="276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Responsabili</w:t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caps/>
          <w:sz w:val="24"/>
          <w:szCs w:val="24"/>
        </w:rPr>
      </w:pPr>
      <w:r>
        <w:rPr>
          <w:caps/>
          <w:sz w:val="24"/>
          <w:szCs w:val="24"/>
        </w:rPr>
        <w:t>DIRETTORE: PROF. ARTURO PUJIA</w:t>
      </w:r>
    </w:p>
    <w:p>
      <w:pPr>
        <w:pStyle w:val="Normal"/>
        <w:rPr>
          <w:caps/>
          <w:sz w:val="24"/>
          <w:szCs w:val="24"/>
        </w:rPr>
      </w:pPr>
      <w:r>
        <w:rPr>
          <w:caps/>
          <w:sz w:val="24"/>
          <w:szCs w:val="24"/>
        </w:rPr>
        <w:t>VICEDIRETTORE: PROF. EUGENIO GAROFALO</w:t>
      </w:r>
    </w:p>
    <w:p>
      <w:pPr>
        <w:pStyle w:val="Normal"/>
        <w:rPr>
          <w:caps/>
          <w:sz w:val="24"/>
          <w:szCs w:val="24"/>
        </w:rPr>
      </w:pPr>
      <w:r>
        <w:rPr>
          <w:caps/>
          <w:sz w:val="24"/>
          <w:szCs w:val="24"/>
        </w:rPr>
        <w:t>COMMISSIONE PER AQ: PROF. PIETRO HIRAM GUZZI, PROF.SSA MARTA LETIZIA HRIBAL, PROF. ADRIANO CARNEVALI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b/>
          <w:bCs/>
          <w:color w:val="FF0000"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6"/>
          <w:szCs w:val="26"/>
          <w:u w:val="single"/>
        </w:rPr>
        <w:t>Documenti del sistema di gestione AQ di Dipartimento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 documenti del Sistema di gestione AQ di Dipartimento sono: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Piano Triennale di Dipartimento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Documento di valutazione annuale della Ricerca e della Terza Missione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Riesame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13335" distL="0" distR="12700" simplePos="0" locked="0" layoutInCell="0" allowOverlap="1" relativeHeight="4" wp14:anchorId="51855369">
                <wp:simplePos x="0" y="0"/>
                <wp:positionH relativeFrom="column">
                  <wp:posOffset>-8890</wp:posOffset>
                </wp:positionH>
                <wp:positionV relativeFrom="paragraph">
                  <wp:posOffset>59055</wp:posOffset>
                </wp:positionV>
                <wp:extent cx="6375400" cy="494665"/>
                <wp:effectExtent l="6350" t="6985" r="6350" b="5715"/>
                <wp:wrapNone/>
                <wp:docPr id="3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240" cy="494640"/>
                        </a:xfrm>
                        <a:prstGeom prst="rect">
                          <a:avLst/>
                        </a:prstGeom>
                        <a:solidFill>
                          <a:srgbClr val="3465a4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76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PROCESSI DI GESTIONE, RIESAME E MIGLIORAMENTO DELLE ATTIVITÀ’ DI DIPARTIMENTO</w:t>
                            </w:r>
                          </w:p>
                          <w:p>
                            <w:pPr>
                              <w:pStyle w:val="FrameContents"/>
                              <w:spacing w:lineRule="auto" w:line="276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7" path="m0,0l-2147483645,0l-2147483645,-2147483646l0,-2147483646xe" fillcolor="#3465a4" stroked="t" o:allowincell="f" style="position:absolute;margin-left:-0.7pt;margin-top:4.65pt;width:501.95pt;height:38.9pt;mso-wrap-style:square;v-text-anchor:middle" wp14:anchorId="51855369">
                <v:fill o:detectmouseclick="t" type="solid" color2="#cb9a5b"/>
                <v:stroke color="#c00000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76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PROCESSI DI GESTIONE, RIESAME E MIGLIORAMENTO DELLE ATTIVITÀ’ DI DIPARTIMENTO</w:t>
                      </w:r>
                    </w:p>
                    <w:p>
                      <w:pPr>
                        <w:pStyle w:val="FrameContents"/>
                        <w:spacing w:lineRule="auto" w:line="276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L’AQ del Dipartimento viene attuata mediante il controllo dei “Processi di gestione, riesame e miglioramento delle attività di Dipartimento”. </w:t>
      </w:r>
      <w:r>
        <w:rPr>
          <w:sz w:val="24"/>
          <w:szCs w:val="24"/>
        </w:rPr>
        <w:t>I processi sono riassumibili secondo il seguente schema:</w:t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2335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18415" distL="0" distR="17145" simplePos="0" locked="0" layoutInCell="0" allowOverlap="1" relativeHeight="6" wp14:anchorId="539595BC">
                <wp:simplePos x="0" y="0"/>
                <wp:positionH relativeFrom="column">
                  <wp:posOffset>-18415</wp:posOffset>
                </wp:positionH>
                <wp:positionV relativeFrom="paragraph">
                  <wp:posOffset>124460</wp:posOffset>
                </wp:positionV>
                <wp:extent cx="6840855" cy="311785"/>
                <wp:effectExtent l="6985" t="6985" r="5715" b="5715"/>
                <wp:wrapNone/>
                <wp:docPr id="6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720" cy="311760"/>
                        </a:xfrm>
                        <a:prstGeom prst="rect">
                          <a:avLst/>
                        </a:prstGeom>
                        <a:solidFill>
                          <a:srgbClr val="3465a4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76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PIANO OPERATIVO PER L’AQ DI DIPARTIMENTO</w:t>
                            </w:r>
                          </w:p>
                          <w:p>
                            <w:pPr>
                              <w:pStyle w:val="FrameContents"/>
                              <w:spacing w:lineRule="auto" w:line="276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8" path="m0,0l-2147483645,0l-2147483645,-2147483646l0,-2147483646xe" fillcolor="#3465a4" stroked="t" o:allowincell="f" style="position:absolute;margin-left:-1.45pt;margin-top:9.8pt;width:538.6pt;height:24.5pt;mso-wrap-style:square;v-text-anchor:middle" wp14:anchorId="539595BC">
                <v:fill o:detectmouseclick="t" type="solid" color2="#cb9a5b"/>
                <v:stroke color="#c00000" weight="12600" joinstyle="miter" endcap="flat"/>
                <v:textbox>
                  <w:txbxContent>
                    <w:p>
                      <w:pPr>
                        <w:pStyle w:val="FrameContents"/>
                        <w:spacing w:lineRule="auto" w:line="276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PIANO OPERATIVO PER L’AQ DI DIPARTIMENTO</w:t>
                      </w:r>
                    </w:p>
                    <w:p>
                      <w:pPr>
                        <w:pStyle w:val="FrameContents"/>
                        <w:spacing w:lineRule="auto" w:line="276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Il Piano Operativo descrive: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 processi;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Le attività da intraprendere;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Le finalità;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Le responsabilità, primarie e di supporto;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Le modalità operative di realizzazione dell’attività;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Le tempistiche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3"/>
        <w:gridCol w:w="6520"/>
      </w:tblGrid>
      <w:tr>
        <w:trPr/>
        <w:tc>
          <w:tcPr>
            <w:tcW w:w="3113" w:type="dxa"/>
            <w:tcBorders/>
            <w:shd w:color="auto" w:fill="E6E6E6" w:themeFill="background1" w:themeFillShade="e6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PROCESSO</w:t>
            </w:r>
          </w:p>
        </w:tc>
        <w:tc>
          <w:tcPr>
            <w:tcW w:w="6520" w:type="dxa"/>
            <w:tcBorders/>
            <w:shd w:color="auto" w:fill="E6E6E6" w:themeFill="background1" w:themeFillShade="e6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1. DEFINIZIONE DI OBIETTIVI E STRATEGIE PER RICERCA E TERZA MISSIONE/IMPATTO SOCIALE DEL DIPARTIMENTO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Descrizione generale 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Il processo riguarda, in particolare, la sezione del “Piano Triennale di Dipartimento” nel quale vengono definiti obiettivi e strategie trasparenti sulla Ricerca e sulla Terza Missione, coerente con il Piano Strategico di Ateneo e con il Piano Triennale di Ateneo nonché con le vocazioni del Dipartimento.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Obiettivi e strategie del Dipartimento tengono in considerazione gli esiti delle valutazioni ricevute da enti esterni (MUR, ANVUR, ecc.) e da organismi di valutazione interni all’Ateneo (Nucleo di Valutazione).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Per ciascun obiettivo di Ricerca e Terza Missione di Dipartimento devono essere individuati: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- gli indicatori necessari per la misurazione dei risultati; - la metrica degli indicatori;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- i target e i risultati attesi rispetto all’obiettivo;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- le azioni pianificate e i relativi risultati attesi;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- le tempistiche prefissate;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- le risorse necessarie;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- le responsabilità per l’attuazione delle attività.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Per ciascun obiettivo di Ricerca e Terza Missione di Dipartimento sono indicati con precisione i criteri e le modalità di distribuzione delle risorse, prevedendo anche criteri premiali basati sulla valutazione dei risultati della Ricerca definiti dalla VQR, oltre ad eventuali altri sistemi di valutazione, tra i quali quelli definiti dall’Ateneo.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398" w:hRule="atLeast"/>
        </w:trPr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Attività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1.1 Definizione delle aree di ricerca del Dipartimento</w:t>
            </w:r>
          </w:p>
        </w:tc>
      </w:tr>
      <w:tr>
        <w:trPr>
          <w:trHeight w:val="828" w:hRule="atLeast"/>
        </w:trPr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Finalità̀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Elaborazione e approvazione di un documento, parte integrante del Piano Triennale di Dipartimento, in cui sono definiti i gruppi di ricerca e descritte le aree di ricerca nelle quali opera il Dipartimento. </w:t>
            </w:r>
          </w:p>
        </w:tc>
      </w:tr>
      <w:tr>
        <w:trPr>
          <w:trHeight w:val="696" w:hRule="atLeast"/>
        </w:trPr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Responsabilità̀ 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Direttore del Dipartimento, coadiuvato dalla Commissione Ricerca, VQR e Terza Missione, Commissione Logistica, Spazi e Attrezzature di Dipartimento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Modalità̀ operative di realizzazione dell’attività̀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Redazione di un documento in cui vengono definite e descritte le aree di ricerca nelle quali opera il Dipartimento. A tal fine, vengono censite:</w:t>
              <w:br/>
            </w:r>
          </w:p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- le linee di ricerca presenti all’interno del Dipartimento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- il personale strutturato e non</w:t>
              <w:br/>
              <w:t xml:space="preserve">- la dotazione strumentale e gli spazi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Il documento è sottoposto alla discussione ed all’approvazione del Consiglio di Dipartimento.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Tempistica 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color w:val="FF000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Entro il mese di gennaio di ogni anno su base triennale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highlight w:val="yellow"/>
              </w:rPr>
            </w:pPr>
            <w:r>
              <w:rPr>
                <w:rFonts w:cs="Times New Roman"/>
                <w:kern w:val="0"/>
                <w:sz w:val="20"/>
                <w:szCs w:val="20"/>
                <w:highlight w:val="yellow"/>
                <w:lang w:val="it-IT" w:eastAsia="it-IT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Attività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highlight w:val="yellow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1.2 Definizione degli obiettivi di Ricerca e Terza Missione del Dipartimento</w:t>
            </w:r>
          </w:p>
        </w:tc>
      </w:tr>
      <w:tr>
        <w:trPr>
          <w:trHeight w:val="764" w:hRule="atLeast"/>
        </w:trPr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Finalità̀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Elaborazione e approvazione di un documento, parte integrante del Piano Triennale di Dipartimento, in cui sono definiti e descritti gli obiettivi pluriennali di Ricerca e Terza Missione del Dipartimento.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Responsabilità̀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Direttore del Dipartimento coadiuvato dalla Commissione Ricerca, VQR e Terza Missione di Dipartimento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Modalità̀ operative di realizzazione dell’attività̀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Redazione di documento in cui vengono definiti e descritti gli obiettivi pluriennali di Ricerca e Terza Missione del Dipartimento.</w:t>
              <w:br/>
              <w:t>A tal fine: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- si individuano gli obiettivi pluriennali di ricerca del Dipartimento, coerenti con: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(a) le Attività di Riesame condotte dal Dipartimento;</w:t>
              <w:br/>
              <w:t xml:space="preserve"> (b) le valutazioni di Organi interni ed esterni all’Ateneo;</w:t>
              <w:br/>
              <w:t xml:space="preserve"> (c) Piano Strategico e Piano Triennale di Ateneo per la Ricerca e Terza Missione.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- si definiscono gli indicatori di risultato per il loro monitoraggio ed i valori target di miglioramento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- si definiscono le responsabilità̀, le azioni e le tempistiche previste per il raggiungimento degli obiettivi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lang w:val="it-IT" w:eastAsia="it-IT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- si definisce il processo di monitoraggio (responsabilità̀, modalità̀ e tempistiche)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- si definisce il processo di riesame (responsabilità̀, modalità̀ e tempistiche) 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lang w:val="it-IT" w:eastAsia="it-IT" w:bidi="ar-SA"/>
              </w:rPr>
            </w:r>
          </w:p>
          <w:p>
            <w:pPr>
              <w:pStyle w:val="NormalWeb"/>
              <w:widowControl/>
              <w:spacing w:before="28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Il documento è sottoposto alla discussione ed all’approvazione del Consiglio di Dipartimento.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Tempistica 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Entro il mese di marzo di ogni anno su base triennale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highlight w:val="yellow"/>
              </w:rPr>
            </w:pPr>
            <w:r>
              <w:rPr>
                <w:rFonts w:cs="Times New Roman"/>
                <w:kern w:val="0"/>
                <w:sz w:val="20"/>
                <w:szCs w:val="20"/>
                <w:highlight w:val="yellow"/>
                <w:lang w:val="it-IT" w:eastAsia="it-IT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Attività 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1. 3 Distribuzione delle risorse</w:t>
            </w:r>
          </w:p>
        </w:tc>
      </w:tr>
      <w:tr>
        <w:trPr>
          <w:trHeight w:val="538" w:hRule="atLeast"/>
        </w:trPr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Finalità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Definizione delle modalità̀ di distribuzione delle risorse per gli obiettivi e le attività̀ di Ricerca e Terza Missione di Dipartimento.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Responsabilità primaria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Direttore del Dipartimento, coadiuvato da relative Commissioni di Dipartimento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Modalità operative di realizzazione dell’attività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Redazione di un documento contenente i criteri e le modalità̀ di distribuzione delle risorse, prevedendo eventuali criteri basati sulla valutazione dei risultati della Ricerca e della Terza Missione definiti dalla VQR, oltre </w:t>
            </w:r>
            <w:r>
              <w:rPr>
                <w:rFonts w:cs="Times New Roman"/>
                <w:kern w:val="0"/>
                <w:lang w:val="it-IT" w:eastAsia="it-IT" w:bidi="ar-SA"/>
              </w:rPr>
              <w:t>a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 eventuali altri sistemi di valutazione, definiti dall’Ateneo o specifici del Dipartimento. </w:t>
            </w:r>
          </w:p>
          <w:p>
            <w:pPr>
              <w:pStyle w:val="NormalWeb"/>
              <w:widowControl/>
              <w:spacing w:before="280" w:after="28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Le risorse dipartimentali per la Ricerca includono, tra le altre: la quota proveniente dalle spese generali dei fondi competitivi (PRIN, Progetti Europei, ecc.), la quota proveniente dai contratti di ricerca conto terzi.</w:t>
            </w:r>
          </w:p>
          <w:p>
            <w:pPr>
              <w:pStyle w:val="NormalWeb"/>
              <w:widowControl/>
              <w:spacing w:before="28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Le risorse dipartimentali per la Terza Missione includono, tra le altre: finanziamenti ottenuti dalla partecipazione a bandi di Public Engagement banditi dall’Ateneo; finanziamenti derivanti da progetti presentati a Enti e Fondazioni Bancarie del territorio.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Tempistica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Entro il mese di marzo di ogni anno su base triennale 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3"/>
        <w:gridCol w:w="6520"/>
      </w:tblGrid>
      <w:tr>
        <w:trPr/>
        <w:tc>
          <w:tcPr>
            <w:tcW w:w="3113" w:type="dxa"/>
            <w:tcBorders/>
            <w:shd w:color="auto" w:fill="E6E6E6" w:themeFill="background1" w:themeFillShade="e6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PROCESSO</w:t>
            </w:r>
          </w:p>
        </w:tc>
        <w:tc>
          <w:tcPr>
            <w:tcW w:w="6520" w:type="dxa"/>
            <w:tcBorders/>
            <w:shd w:color="auto" w:fill="E6E6E6" w:themeFill="background1" w:themeFillShade="e6" w:val="clear"/>
          </w:tcPr>
          <w:p>
            <w:pPr>
              <w:pStyle w:val="NormalWeb"/>
              <w:widowControl/>
              <w:shd w:val="clear" w:color="auto" w:fill="EFEFEF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2. ATTUAZIONE DELLE ATTIVITÀ DI RICERCA E TERZA MISSIONE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Descrizione generale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Il presente processo riguarda l’attuazione delle attività di Ricerca e Terza Missione da parte del Dipartimento. Le attività̀ di Ricerca e Terza Missione vengono attuate dai singoli ricercatori, eventualmente nell’ambito dei Centri di ricerca dipartimentali e interdipartimentali, in coerenza con le linee strategiche e gli obiettivi definiti nel Processo 1.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 risultati del Processo 2 sono dati di ingresso al Processo 3.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Attività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1.1 Attuazione delle attività di Ricerca e Terza Missione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Finalità̀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Messa in opera delle attività̀ di Ricerca e Terza Missione da parte del personale ricercatore, eventualmente anche nell’ambito dei Centri di Ricerca dipartimentali e interdipartimentali.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Responsabilità̀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Personale Ricercatore e personale di supporto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Modalità operative di realizzazione dell’attività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Il personale ricercatore, ovvero i docenti, gli assegnisti e i dottorandi, svolge attività̀ di Ricerca e Terza Missione, eventualmente anche nell’ambito dei Centri di ricerca dipartimentali e interdipartimentali a cui afferisce. </w:t>
            </w:r>
          </w:p>
          <w:p>
            <w:pPr>
              <w:pStyle w:val="NormalWeb"/>
              <w:widowControl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Il fine principale che viene perseguito è quello di attuare gli obiettivi previsti dal Piano Triennale di Dipartimento, per quanto riguarda:</w:t>
            </w:r>
          </w:p>
          <w:p>
            <w:pPr>
              <w:pStyle w:val="NormalWeb"/>
              <w:widowControl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(per la Ricerca) lo svolgimento di progetti di Ricerca e la pubblicazione di risultati scientifici;</w:t>
            </w:r>
          </w:p>
          <w:p>
            <w:pPr>
              <w:pStyle w:val="NormalWeb"/>
              <w:widowControl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(per la Terza Missione) la valorizzazione della ricerca, l’attività̀ conto terzi, la formazione continua, il public engagement e l’interazione con il territorio;</w:t>
            </w:r>
          </w:p>
          <w:p>
            <w:pPr>
              <w:pStyle w:val="NormalWeb"/>
              <w:widowControl/>
              <w:spacing w:before="28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Il personale di supporto sostiene l’attuazione delle attività̀ di Ricerca e Terza Missione con le azioni necessarie al raggiungimento degli obiettivi, definiti nel Processo 1, ed erogando i servizi necessari per il personale ricercatore e per le strutture di ricerca.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Tempistica 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Attività Continuativa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3"/>
        <w:gridCol w:w="6520"/>
      </w:tblGrid>
      <w:tr>
        <w:trPr/>
        <w:tc>
          <w:tcPr>
            <w:tcW w:w="3113" w:type="dxa"/>
            <w:tcBorders/>
            <w:shd w:color="auto" w:fill="E6E6E6" w:themeFill="background1" w:themeFillShade="e6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PROCESSO</w:t>
            </w:r>
          </w:p>
        </w:tc>
        <w:tc>
          <w:tcPr>
            <w:tcW w:w="6520" w:type="dxa"/>
            <w:tcBorders/>
            <w:shd w:color="auto" w:fill="E6E6E6" w:themeFill="background1" w:themeFillShade="e6" w:val="clear"/>
          </w:tcPr>
          <w:p>
            <w:pPr>
              <w:pStyle w:val="NormalWeb"/>
              <w:widowControl/>
              <w:shd w:val="clear" w:color="auto" w:fill="EFEFEF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3. MONITORAGGIO 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E RIESAME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 DELLE ATTIVITÀ DI RICERCA E TERZA MISSIONE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Descrizione generale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Le attività̀ di monitoraggio riguardano, in generale, lo stato di avanzamento delle attività̀ di Ricerca e Terza Missione previste delle strategie di Dipartimento e i risultati conseguiti.</w:t>
            </w:r>
          </w:p>
          <w:p>
            <w:pPr>
              <w:pStyle w:val="NormalWeb"/>
              <w:widowControl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A tal fine, sono in particolare monitorati gli indicatori individuati nel Processo 1 come necessari per la misurazione dei risultati conseguiti. Gli esiti dei monitoraggi sono periodicamente presentati e sottoposti all’approvazione del Consiglio di Dipartimento.  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Il monitoraggio è finalizzato al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riesame (autovalutazione) delle attività̀ di Ricerca e Terza Missione in termini di modalità di attuazione e di risultati conseguiti. 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spacing w:before="28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>-  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individuazione di punti di forza; 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>-  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individuazione di aree di criticità; 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spacing w:before="0" w:after="28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>-  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definizione di eventuali azioni correttive. </w:t>
            </w:r>
          </w:p>
          <w:p>
            <w:pPr>
              <w:pStyle w:val="NormalWeb"/>
              <w:widowControl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 risultati del Processo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3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 sono dati di ingresso al Processo 1. </w:t>
            </w:r>
          </w:p>
          <w:p>
            <w:pPr>
              <w:pStyle w:val="NormalWeb"/>
              <w:widowControl/>
              <w:spacing w:before="28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lang w:val="it-IT" w:eastAsia="it-IT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Attività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3.1a M</w:t>
            </w:r>
            <w:r>
              <w:rPr>
                <w:rFonts w:cs="Times New Roman"/>
                <w:b/>
                <w:bCs/>
                <w:color w:val="000000" w:themeColor="text1"/>
                <w:kern w:val="0"/>
                <w:sz w:val="20"/>
                <w:szCs w:val="20"/>
                <w:lang w:val="it-IT" w:eastAsia="it-IT" w:bidi="ar-SA"/>
              </w:rPr>
              <w:t>onitoraggio delle attività e dei risultati della Ricerca</w:t>
            </w:r>
          </w:p>
        </w:tc>
      </w:tr>
      <w:tr>
        <w:trPr>
          <w:trHeight w:val="374" w:hRule="atLeast"/>
        </w:trPr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Finalità̀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Raccolta dei risultati conseguiti dal personale ricercatore nelle attività̀ ricerca </w:t>
            </w:r>
          </w:p>
        </w:tc>
      </w:tr>
      <w:tr>
        <w:trPr>
          <w:trHeight w:val="535" w:hRule="atLeast"/>
        </w:trPr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Responsabilità̀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color w:val="000000" w:themeColor="text1"/>
                <w:kern w:val="0"/>
                <w:sz w:val="20"/>
                <w:szCs w:val="20"/>
                <w:lang w:val="it-IT" w:eastAsia="it-IT" w:bidi="ar-SA"/>
              </w:rPr>
              <w:t>Direttore del Dipartimento, coadiuvato dalle relative Commissioni di Dipartimento e dal Gruppo AQ di Dipartimento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Modalità̀ operative di realizzazione dell’attività̀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Redazione di una relazione annuale sullo stato di attuazione e di avanzamento delle attività̀ di Ricerca e il grado di raggiungimento degli obiettivi definiti nel Piano Triennale di Dipartimento,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Inserimento (banca data IRIS) e aggiornamento delle informazioni relative a: 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28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Produzione scientifica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Premi scientifici e Responsabilità̀ 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Direzione di riviste, collane editoriali, enciclopedie e trattati scientifici 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before="0" w:after="28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Direzione o responsabilità̀ scientifica/coordinamento di enti o istituti di ricerca pubblici o privati nazionali o internazionali 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Inserimento e aggiornamento delle informazioni relative a: 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•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Progetti acquisiti da bandi competitivi</w:t>
              <w:br/>
              <w:t>• Contratti di Ricerca stipulati con Enti Pubblici e Privati;</w:t>
              <w:br/>
              <w:t xml:space="preserve">• Mobilità internazionale 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Numero di congressi e workshop internazionali con responsabilità̀ scientifica e organizzativa nel Dipartimento;</w:t>
            </w:r>
          </w:p>
          <w:p>
            <w:pPr>
              <w:pStyle w:val="NormalWeb"/>
              <w:widowControl/>
              <w:spacing w:before="280" w:after="0"/>
              <w:jc w:val="both"/>
              <w:rPr>
                <w:highlight w:val="yellow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Gli esiti del monitoraggio devono essere periodicamente presentati al Consiglio di Dipartimento.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Tempistica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Due volte all’anno (luglio e dicembre)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Attività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hd w:val="clear" w:color="auto" w:fill="EFEFEF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3.1b M</w:t>
            </w:r>
            <w:r>
              <w:rPr>
                <w:rFonts w:cs="Times New Roman"/>
                <w:b/>
                <w:bCs/>
                <w:color w:val="000000" w:themeColor="text1"/>
                <w:kern w:val="0"/>
                <w:sz w:val="20"/>
                <w:szCs w:val="20"/>
                <w:lang w:val="it-IT" w:eastAsia="it-IT" w:bidi="ar-SA"/>
              </w:rPr>
              <w:t>onitoraggio</w:t>
            </w: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delle attività̀ di Terza Missione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Finalità̀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Raccolta delle informazioni relative ai risultati conseguiti dal personale ricercatore nelle attività̀ di Terza Missione.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Responsabilità̀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color w:val="000000" w:themeColor="text1"/>
                <w:kern w:val="0"/>
                <w:sz w:val="20"/>
                <w:szCs w:val="20"/>
                <w:lang w:val="it-IT" w:eastAsia="it-IT" w:bidi="ar-SA"/>
              </w:rPr>
              <w:t>Direttore del Dipartimento, coadiuvato dalle relative Commissioni di Dipartimento e dal Gruppo AQ di Dipartimento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Modalità̀ operative di realizzazione dell’attività̀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Redazione di una relazione annuale sullo stato di attuazione e di avanzamento delle attività̀ di Terza Missione e il grado di raggiungimento degli obiettivi definiti nel Piano Triennale di Dipartimento,</w:t>
            </w:r>
          </w:p>
          <w:p>
            <w:pPr>
              <w:pStyle w:val="NormalWeb"/>
              <w:widowControl/>
              <w:spacing w:before="280" w:after="28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Il censimento delle attività̀ di Terza Missione si riferisce ai seguenti ambiti: </w:t>
            </w: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 xml:space="preserve">-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Attività di Formazione continua</w:t>
              <w:br/>
            </w: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 xml:space="preserve">-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Numero di iniziative di Public Engagement</w:t>
              <w:br/>
            </w: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 xml:space="preserve">-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Finanziamenti ottenuti da bandi Public Engagement di Ateneo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 xml:space="preserve">-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Numero di Spin Off attivi</w:t>
              <w:br/>
            </w: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 xml:space="preserve">-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Numero di Brevetti attivi</w:t>
              <w:br/>
            </w:r>
            <w:r>
              <w:rPr>
                <w:rFonts w:cs="Times New Roman"/>
                <w:kern w:val="0"/>
                <w:sz w:val="22"/>
                <w:szCs w:val="22"/>
                <w:lang w:val="it-IT" w:eastAsia="it-IT" w:bidi="ar-SA"/>
              </w:rPr>
              <w:t xml:space="preserve">-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Attività Conto Terzi</w:t>
              <w:br/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Tempistica 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Due volte all’anno (luglio e dicembre)</w:t>
            </w:r>
          </w:p>
        </w:tc>
      </w:tr>
    </w:tbl>
    <w:p>
      <w:pPr>
        <w:pStyle w:val="Normal"/>
        <w:rPr>
          <w:caps/>
        </w:rPr>
      </w:pPr>
      <w:r>
        <w:rPr>
          <w:caps/>
        </w:rPr>
      </w:r>
    </w:p>
    <w:p>
      <w:pPr>
        <w:pStyle w:val="Normal"/>
        <w:jc w:val="center"/>
        <w:rPr>
          <w:caps/>
        </w:rPr>
      </w:pPr>
      <w:r>
        <w:rPr>
          <w:caps/>
        </w:rPr>
      </w:r>
    </w:p>
    <w:p>
      <w:pPr>
        <w:pStyle w:val="Normal"/>
        <w:jc w:val="center"/>
        <w:rPr>
          <w:caps/>
        </w:rPr>
      </w:pPr>
      <w:r>
        <w:rPr>
          <w:caps/>
        </w:rPr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3"/>
        <w:gridCol w:w="6520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Attività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3.2</w:t>
            </w:r>
            <w:r>
              <w:rPr>
                <w:rFonts w:cs="Times New Roman"/>
                <w:b/>
                <w:bCs/>
                <w:kern w:val="0"/>
                <w:sz w:val="20"/>
                <w:szCs w:val="20"/>
                <w:lang w:val="it-IT" w:eastAsia="it-IT" w:bidi="ar-SA"/>
              </w:rPr>
              <w:t>Riesame delle attività di Ricerca e Terza Missione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Finalità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Elaborazione di un documento di riesame delle attività di Ricerca e Terza Missione.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Responsabilità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Direttore del Dipartimento, coadiuvato da relative Commissioni di Dipartimento e Gruppo AQ di Dipartimento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28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Modalità operative di realizzazione dell’attività </w:t>
            </w:r>
          </w:p>
          <w:p>
            <w:pPr>
              <w:pStyle w:val="NormalWeb"/>
              <w:widowControl/>
              <w:spacing w:before="28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28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Redazione di un documento in cui vengono analizzate le modalità̀ di attuazione delle attività̀ di Ricerca e Terza Missione e i risultati conseguiti rispetto a quelli attesi. I dati da considerare sono quelli in uscita dal Processo 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 e le valutazioni interne ed esterne</w:t>
            </w: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. </w:t>
            </w:r>
          </w:p>
          <w:p>
            <w:pPr>
              <w:pStyle w:val="NormalWeb"/>
              <w:widowControl/>
              <w:spacing w:before="28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Il documento deve portare all’individuazione di punti di forza e di criticità̀ e alla eventuale proposta di azioni di correzione, anche in relazione ad avvenuti mutamenti del contesto esterno (minacce e opportunità̀).</w:t>
              <w:br/>
              <w:t xml:space="preserve">Il documento di riesame deve essere sottoposto alla discussione e all’approvazione del Consiglio di Dipartimento. </w:t>
            </w:r>
          </w:p>
        </w:tc>
      </w:tr>
      <w:tr>
        <w:trPr/>
        <w:tc>
          <w:tcPr>
            <w:tcW w:w="3113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Tempistica </w:t>
            </w:r>
          </w:p>
        </w:tc>
        <w:tc>
          <w:tcPr>
            <w:tcW w:w="6520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rFonts w:cs="Times New Roman"/>
                <w:kern w:val="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 xml:space="preserve">Nei mesi di maggio e ottobre viene predisposto un Rapporto di Monitoraggio e Riesame delle Attività di Ricerca e Terza Missione del Dipartimento. Il Rapporto viene sottoposto al Consiglio di Dipartimento, per la discussione e l’approvazione, entro il mese di ottobre.  </w:t>
            </w:r>
          </w:p>
        </w:tc>
      </w:tr>
    </w:tbl>
    <w:p>
      <w:pPr>
        <w:pStyle w:val="Normal"/>
        <w:jc w:val="center"/>
        <w:rPr>
          <w:caps/>
        </w:rPr>
      </w:pPr>
      <w:r>
        <w:rPr>
          <w:caps/>
        </w:rPr>
      </w:r>
    </w:p>
    <w:p>
      <w:pPr>
        <w:pStyle w:val="Normal"/>
        <w:jc w:val="center"/>
        <w:rPr>
          <w:caps/>
        </w:rPr>
      </w:pPr>
      <w:r>
        <w:rPr>
          <w:caps/>
        </w:rPr>
      </w:r>
    </w:p>
    <w:p>
      <w:pPr>
        <w:pStyle w:val="Normal"/>
        <w:rPr>
          <w:caps/>
        </w:rPr>
      </w:pPr>
      <w:r>
        <w:rPr>
          <w:caps/>
        </w:rPr>
      </w:r>
    </w:p>
    <w:p>
      <w:pPr>
        <w:pStyle w:val="Normal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Cronoprogramma delle attività annuali -</w:t>
      </w:r>
    </w:p>
    <w:p>
      <w:pPr>
        <w:pStyle w:val="Normal"/>
        <w:tabs>
          <w:tab w:val="clear" w:pos="708"/>
          <w:tab w:val="left" w:pos="240" w:leader="none"/>
        </w:tabs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1982"/>
        <w:gridCol w:w="1134"/>
        <w:gridCol w:w="424"/>
        <w:gridCol w:w="570"/>
        <w:gridCol w:w="567"/>
        <w:gridCol w:w="568"/>
        <w:gridCol w:w="568"/>
        <w:gridCol w:w="569"/>
        <w:gridCol w:w="567"/>
        <w:gridCol w:w="569"/>
        <w:gridCol w:w="569"/>
        <w:gridCol w:w="425"/>
        <w:gridCol w:w="568"/>
        <w:gridCol w:w="557"/>
      </w:tblGrid>
      <w:tr>
        <w:trPr>
          <w:trHeight w:val="320" w:hRule="atLeast"/>
        </w:trPr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Azione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Organo</w:t>
            </w:r>
          </w:p>
        </w:tc>
        <w:tc>
          <w:tcPr>
            <w:tcW w:w="652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Tempistica (mesi)</w:t>
            </w:r>
          </w:p>
        </w:tc>
      </w:tr>
      <w:tr>
        <w:trPr>
          <w:trHeight w:val="320" w:hRule="atLeast"/>
        </w:trPr>
        <w:tc>
          <w:tcPr>
            <w:tcW w:w="1982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424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Dic.</w:t>
            </w:r>
          </w:p>
        </w:tc>
        <w:tc>
          <w:tcPr>
            <w:tcW w:w="570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Gen.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568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568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Apr.</w:t>
            </w:r>
          </w:p>
        </w:tc>
        <w:tc>
          <w:tcPr>
            <w:tcW w:w="56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Mag.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Giu.</w:t>
            </w:r>
          </w:p>
        </w:tc>
        <w:tc>
          <w:tcPr>
            <w:tcW w:w="56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Lug.</w:t>
            </w:r>
          </w:p>
        </w:tc>
        <w:tc>
          <w:tcPr>
            <w:tcW w:w="56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425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Set.</w:t>
            </w:r>
          </w:p>
        </w:tc>
        <w:tc>
          <w:tcPr>
            <w:tcW w:w="568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Ott.</w:t>
            </w:r>
          </w:p>
        </w:tc>
        <w:tc>
          <w:tcPr>
            <w:tcW w:w="557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Nov.</w:t>
            </w:r>
          </w:p>
        </w:tc>
      </w:tr>
      <w:tr>
        <w:trPr>
          <w:trHeight w:val="300" w:hRule="atLeast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1.1 Definizione delle aree di ricerca di Dipartimento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Direttore di Dipartimento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9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1.2 Definizione degli obiettivi di Ricerca e terza Missione del Dipartimento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Direttore di Dipartimento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9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1.3 Distribuzione delle risorse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Direttore di Dipartimento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9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2.1 Attuazione delle attività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Personale ricercatore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8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9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3.1 Documento di valutazione annuale della Ricerca e Terza Missione di Dipartimento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Commissione ricerca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9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3.2 Risultati VQR e ASN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Direttore di Dipartimento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20" w:hRule="atLeast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4.1 Relazione di Riesame delle Attività di Ricerca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Direttore di Dipartimento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8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color="000000" w:fill="C00000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240" w:leader="none"/>
        </w:tabs>
        <w:rPr>
          <w:caps/>
          <w:sz w:val="24"/>
          <w:szCs w:val="24"/>
        </w:rPr>
      </w:pPr>
      <w:r>
        <w:rPr>
          <w:caps/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417" w:footer="708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English111 Vivace BT">
    <w:charset w:val="01"/>
    <w:family w:val="roman"/>
    <w:pitch w:val="variable"/>
  </w:font>
  <w:font w:name="AvantGarde Bk B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4"/>
        <w:szCs w:val="24"/>
      </w:rPr>
    </w:pPr>
    <w:r>
      <w:rPr>
        <w:sz w:val="24"/>
        <w:szCs w:val="24"/>
      </w:rPr>
      <w:t xml:space="preserve">Approvato dal Consiglio di Dipartimento in </w:t>
    </w:r>
    <w:r>
      <w:rPr>
        <w:sz w:val="24"/>
        <w:szCs w:val="24"/>
        <w:highlight w:val="yellow"/>
      </w:rPr>
      <w:t>data…….(DA APPROVARE</w:t>
    </w:r>
    <w:r>
      <w:rPr>
        <w:sz w:val="24"/>
        <w:szCs w:val="24"/>
      </w:rPr>
      <w:t>)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9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 w:noVBand="0" w:noHBand="0" w:lastColumn="0" w:firstColumn="0" w:lastRow="0" w:firstRow="0"/>
    </w:tblPr>
    <w:tblGrid>
      <w:gridCol w:w="1203"/>
      <w:gridCol w:w="8686"/>
    </w:tblGrid>
    <w:tr>
      <w:trPr>
        <w:trHeight w:val="1002" w:hRule="atLeast"/>
      </w:trPr>
      <w:tc>
        <w:tcPr>
          <w:tcW w:w="1203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49pt;height:49pt;mso-wrap-distance-right:0pt" filled="f" o:ole="">
                <v:imagedata r:id="rId2" o:title=""/>
              </v:shape>
              <o:OLEObject Type="Embed" ProgID="Word.Picture.8" ShapeID="ole_rId1" DrawAspect="Content" ObjectID="_183105953" r:id="rId1"/>
            </w:object>
          </w:r>
        </w:p>
      </w:tc>
      <w:tc>
        <w:tcPr>
          <w:tcW w:w="8686" w:type="dxa"/>
          <w:tcBorders>
            <w:bottom w:val="single" w:sz="4" w:space="0" w:color="000000"/>
          </w:tcBorders>
          <w:vAlign w:val="center"/>
        </w:tcPr>
        <w:p>
          <w:pPr>
            <w:pStyle w:val="Heading1"/>
            <w:widowControl w:val="false"/>
            <w:spacing w:before="0" w:after="120"/>
            <w:rPr>
              <w:rFonts w:ascii="Times New Roman" w:hAnsi="Times New Roman"/>
              <w:b w:val="false"/>
              <w:i/>
              <w:i/>
              <w:sz w:val="36"/>
            </w:rPr>
          </w:pPr>
          <w:r>
            <w:rPr>
              <w:rFonts w:ascii="Times New Roman" w:hAnsi="Times New Roman"/>
              <w:b w:val="false"/>
              <w:i/>
              <w:sz w:val="36"/>
            </w:rPr>
            <w:t>Università degli Studi “Magna Græcia” di Catanzaro</w:t>
          </w:r>
        </w:p>
        <w:p>
          <w:pPr>
            <w:pStyle w:val="Heading1"/>
            <w:widowControl w:val="false"/>
            <w:spacing w:before="0" w:after="120"/>
            <w:rPr>
              <w:b w:val="false"/>
              <w:i/>
              <w:i/>
              <w:sz w:val="28"/>
            </w:rPr>
          </w:pPr>
          <w:r>
            <w:rPr>
              <w:b w:val="false"/>
              <w:i/>
              <w:sz w:val="28"/>
            </w:rPr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0b8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f30b80"/>
    <w:pPr>
      <w:keepNext w:val="true"/>
      <w:jc w:val="center"/>
      <w:outlineLvl w:val="0"/>
    </w:pPr>
    <w:rPr>
      <w:rFonts w:ascii="English111 Vivace BT" w:hAnsi="English111 Vivace BT"/>
      <w:b/>
      <w:sz w:val="60"/>
    </w:rPr>
  </w:style>
  <w:style w:type="paragraph" w:styleId="Heading3">
    <w:name w:val="Heading 3"/>
    <w:basedOn w:val="Normal"/>
    <w:next w:val="Normal"/>
    <w:link w:val="Titolo3Carattere"/>
    <w:qFormat/>
    <w:rsid w:val="00f30b80"/>
    <w:pPr>
      <w:keepNext w:val="true"/>
      <w:jc w:val="center"/>
      <w:outlineLvl w:val="2"/>
    </w:pPr>
    <w:rPr>
      <w:rFonts w:ascii="AvantGarde Bk BT" w:hAnsi="AvantGarde Bk BT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Heading1"/>
    <w:qFormat/>
    <w:rsid w:val="00f30b80"/>
    <w:rPr>
      <w:rFonts w:ascii="English111 Vivace BT" w:hAnsi="English111 Vivace BT" w:eastAsia="Times New Roman" w:cs="Times New Roman"/>
      <w:b/>
      <w:sz w:val="60"/>
      <w:szCs w:val="20"/>
      <w:lang w:eastAsia="it-IT"/>
    </w:rPr>
  </w:style>
  <w:style w:type="character" w:styleId="Titolo3Carattere" w:customStyle="1">
    <w:name w:val="Titolo 3 Carattere"/>
    <w:link w:val="Heading3"/>
    <w:qFormat/>
    <w:rsid w:val="00f30b80"/>
    <w:rPr>
      <w:rFonts w:ascii="AvantGarde Bk BT" w:hAnsi="AvantGarde Bk BT" w:eastAsia="Times New Roman" w:cs="Times New Roman"/>
      <w:sz w:val="36"/>
      <w:szCs w:val="20"/>
      <w:lang w:eastAsia="it-IT"/>
    </w:rPr>
  </w:style>
  <w:style w:type="character" w:styleId="Xforms-control" w:customStyle="1">
    <w:name w:val="xforms-control"/>
    <w:basedOn w:val="DefaultParagraphFont"/>
    <w:qFormat/>
    <w:rsid w:val="000153f6"/>
    <w:rPr/>
  </w:style>
  <w:style w:type="character" w:styleId="Hps" w:customStyle="1">
    <w:name w:val="hps"/>
    <w:basedOn w:val="DefaultParagraphFont"/>
    <w:qFormat/>
    <w:rsid w:val="002b6d8e"/>
    <w:rPr/>
  </w:style>
  <w:style w:type="character" w:styleId="Atn" w:customStyle="1">
    <w:name w:val="atn"/>
    <w:basedOn w:val="DefaultParagraphFont"/>
    <w:qFormat/>
    <w:rsid w:val="002b6d8e"/>
    <w:rPr/>
  </w:style>
  <w:style w:type="character" w:styleId="IntestazioneCarattere" w:customStyle="1">
    <w:name w:val="Intestazione Carattere"/>
    <w:link w:val="Header"/>
    <w:uiPriority w:val="99"/>
    <w:qFormat/>
    <w:rsid w:val="00a72d69"/>
    <w:rPr>
      <w:rFonts w:ascii="Times New Roman" w:hAnsi="Times New Roman" w:eastAsia="Times New Roman"/>
    </w:rPr>
  </w:style>
  <w:style w:type="character" w:styleId="PidipaginaCarattere" w:customStyle="1">
    <w:name w:val="Piè di pagina Carattere"/>
    <w:link w:val="Footer"/>
    <w:uiPriority w:val="99"/>
    <w:qFormat/>
    <w:rsid w:val="00a72d69"/>
    <w:rPr>
      <w:rFonts w:ascii="Times New Roman" w:hAnsi="Times New Roman" w:eastAsia="Times New Roman"/>
    </w:rPr>
  </w:style>
  <w:style w:type="character" w:styleId="TestonotaapidipaginaCarattere" w:customStyle="1">
    <w:name w:val="Testo nota a piè di pagina Carattere"/>
    <w:link w:val="Footnote"/>
    <w:uiPriority w:val="99"/>
    <w:semiHidden/>
    <w:qFormat/>
    <w:rsid w:val="008e7f72"/>
    <w:rPr>
      <w:rFonts w:ascii="Times New Roman" w:hAnsi="Times New Roman" w:eastAsia="Times New Roman"/>
    </w:rPr>
  </w:style>
  <w:style w:type="character" w:styleId="FootnoteCharacters">
    <w:name w:val="Footnote Characters"/>
    <w:uiPriority w:val="99"/>
    <w:semiHidden/>
    <w:unhideWhenUsed/>
    <w:qFormat/>
    <w:rsid w:val="008e7f72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315e5b"/>
    <w:rPr>
      <w:rFonts w:ascii="Segoe UI" w:hAnsi="Segoe UI" w:eastAsia="Times New Roman" w:cs="Segoe UI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615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153d2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next w:val="Normal"/>
    <w:qFormat/>
    <w:rsid w:val="00f30b80"/>
    <w:pPr>
      <w:spacing w:before="120" w:after="0"/>
    </w:pPr>
    <w:rPr>
      <w:rFonts w:ascii="Arial" w:hAnsi="Arial"/>
      <w:b/>
      <w:sz w:val="16"/>
    </w:rPr>
  </w:style>
  <w:style w:type="paragraph" w:styleId="ListParagraph">
    <w:name w:val="List Paragraph"/>
    <w:basedOn w:val="Normal"/>
    <w:uiPriority w:val="34"/>
    <w:qFormat/>
    <w:rsid w:val="0052369b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e9315f"/>
    <w:pPr>
      <w:widowControl/>
      <w:bidi w:val="0"/>
      <w:spacing w:before="0" w:after="0"/>
      <w:jc w:val="left"/>
    </w:pPr>
    <w:rPr>
      <w:rFonts w:ascii="Times New Roman" w:hAnsi="Times New Roman" w:eastAsia="PMingLiU" w:cs="Times New Roman"/>
      <w:color w:val="000000"/>
      <w:kern w:val="0"/>
      <w:sz w:val="24"/>
      <w:szCs w:val="24"/>
      <w:lang w:eastAsia="zh-TW" w:val="it-IT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72d6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a72d6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note">
    <w:name w:val="Footnote Text"/>
    <w:basedOn w:val="Normal"/>
    <w:link w:val="TestonotaapidipaginaCarattere"/>
    <w:uiPriority w:val="99"/>
    <w:semiHidden/>
    <w:unhideWhenUsed/>
    <w:rsid w:val="008e7f72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15e5b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e25d8"/>
    <w:pPr>
      <w:spacing w:beforeAutospacing="1" w:afterAutospacing="1"/>
    </w:pPr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153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C7EC-81C6-4519-AD43-C51BDBE8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LibreOffice/7.5.0.3$MacOSX_X86_64 LibreOffice_project/c21113d003cd3efa8c53188764377a8272d9d6de</Application>
  <AppVersion>15.0000</AppVersion>
  <Pages>7</Pages>
  <Words>1911</Words>
  <Characters>11588</Characters>
  <CharactersWithSpaces>13472</CharactersWithSpaces>
  <Paragraphs>268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2024-02-01T15:49:00Z</dcterms:created>
  <dc:creator>utente</dc:creator>
  <dc:description/>
  <dc:language>it-IT</dc:language>
  <cp:lastModifiedBy/>
  <cp:lastPrinted>2020-01-14T11:31:00Z</cp:lastPrinted>
  <dcterms:modified xsi:type="dcterms:W3CDTF">2024-02-23T16:08:03Z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